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8"/>
        <w:gridCol w:w="1170"/>
      </w:tblGrid>
      <w:tr w:rsidR="00305D11" w:rsidRPr="00E72307" w14:paraId="67DE48EA" w14:textId="77777777" w:rsidTr="0090536B">
        <w:trPr>
          <w:trHeight w:val="533"/>
        </w:trPr>
        <w:tc>
          <w:tcPr>
            <w:tcW w:w="8568" w:type="dxa"/>
            <w:tcBorders>
              <w:bottom w:val="single" w:sz="4" w:space="0" w:color="000000"/>
            </w:tcBorders>
            <w:shd w:val="clear" w:color="auto" w:fill="DBE5F1" w:themeFill="accent1" w:themeFillTint="33"/>
            <w:vAlign w:val="center"/>
          </w:tcPr>
          <w:p w14:paraId="3E4AF7F6" w14:textId="77777777" w:rsidR="00903BAE" w:rsidRPr="00E72307" w:rsidRDefault="00C85229"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C</w:t>
            </w:r>
            <w:r w:rsidR="006F5326">
              <w:rPr>
                <w:rFonts w:cs="Arial"/>
                <w:b/>
                <w:sz w:val="20"/>
                <w:szCs w:val="20"/>
              </w:rPr>
              <w:t>ommunity Futures</w:t>
            </w:r>
            <w:r>
              <w:rPr>
                <w:rFonts w:cs="Arial"/>
                <w:b/>
                <w:sz w:val="20"/>
                <w:szCs w:val="20"/>
              </w:rPr>
              <w:t xml:space="preserve"> Performance </w:t>
            </w:r>
            <w:r w:rsidR="006F5326">
              <w:rPr>
                <w:rFonts w:cs="Arial"/>
                <w:b/>
                <w:sz w:val="20"/>
                <w:szCs w:val="20"/>
              </w:rPr>
              <w:t>Results</w:t>
            </w:r>
          </w:p>
        </w:tc>
        <w:tc>
          <w:tcPr>
            <w:tcW w:w="1170" w:type="dxa"/>
            <w:tcBorders>
              <w:bottom w:val="single" w:sz="4" w:space="0" w:color="000000"/>
            </w:tcBorders>
            <w:shd w:val="clear" w:color="auto" w:fill="DBE5F1" w:themeFill="accent1" w:themeFillTint="33"/>
            <w:vAlign w:val="center"/>
          </w:tcPr>
          <w:p w14:paraId="5D177487" w14:textId="7AB7B96A" w:rsidR="00305D11" w:rsidRPr="00E72307" w:rsidRDefault="000E446D" w:rsidP="006F52BA">
            <w:pPr>
              <w:keepNext/>
              <w:keepLines/>
              <w:tabs>
                <w:tab w:val="left" w:pos="6024"/>
                <w:tab w:val="left" w:pos="7159"/>
              </w:tabs>
              <w:autoSpaceDE w:val="0"/>
              <w:autoSpaceDN w:val="0"/>
              <w:adjustRightInd w:val="0"/>
              <w:jc w:val="center"/>
              <w:rPr>
                <w:rFonts w:cs="Arial"/>
                <w:b/>
                <w:sz w:val="20"/>
                <w:szCs w:val="20"/>
              </w:rPr>
            </w:pPr>
            <w:r>
              <w:rPr>
                <w:rFonts w:cs="Arial"/>
                <w:b/>
                <w:sz w:val="20"/>
                <w:szCs w:val="20"/>
              </w:rPr>
              <w:t>20</w:t>
            </w:r>
            <w:r w:rsidR="001048DF">
              <w:rPr>
                <w:rFonts w:cs="Arial"/>
                <w:b/>
                <w:sz w:val="20"/>
                <w:szCs w:val="20"/>
              </w:rPr>
              <w:t>2</w:t>
            </w:r>
            <w:r w:rsidR="003C1291">
              <w:rPr>
                <w:rFonts w:cs="Arial"/>
                <w:b/>
                <w:sz w:val="20"/>
                <w:szCs w:val="20"/>
              </w:rPr>
              <w:t>5</w:t>
            </w:r>
            <w:r w:rsidR="0090536B">
              <w:rPr>
                <w:rFonts w:cs="Arial"/>
                <w:b/>
                <w:sz w:val="20"/>
                <w:szCs w:val="20"/>
              </w:rPr>
              <w:t>-</w:t>
            </w:r>
            <w:r w:rsidR="00D97949">
              <w:rPr>
                <w:rFonts w:cs="Arial"/>
                <w:b/>
                <w:sz w:val="20"/>
                <w:szCs w:val="20"/>
              </w:rPr>
              <w:t>2</w:t>
            </w:r>
            <w:r w:rsidR="003C1291">
              <w:rPr>
                <w:rFonts w:cs="Arial"/>
                <w:b/>
                <w:sz w:val="20"/>
                <w:szCs w:val="20"/>
              </w:rPr>
              <w:t>6</w:t>
            </w:r>
          </w:p>
        </w:tc>
      </w:tr>
      <w:tr w:rsidR="00305D11" w:rsidRPr="00E72307" w14:paraId="7CC894EB" w14:textId="77777777" w:rsidTr="000032F8">
        <w:trPr>
          <w:trHeight w:val="659"/>
        </w:trPr>
        <w:tc>
          <w:tcPr>
            <w:tcW w:w="9738" w:type="dxa"/>
            <w:gridSpan w:val="2"/>
            <w:tcBorders>
              <w:bottom w:val="single" w:sz="4" w:space="0" w:color="000000"/>
            </w:tcBorders>
            <w:vAlign w:val="center"/>
          </w:tcPr>
          <w:p w14:paraId="55A02C19" w14:textId="77777777" w:rsidR="00305D11" w:rsidRPr="00E72307" w:rsidRDefault="00305D11" w:rsidP="000032F8">
            <w:pPr>
              <w:keepNext/>
              <w:keepLines/>
              <w:tabs>
                <w:tab w:val="left" w:pos="6024"/>
                <w:tab w:val="left" w:pos="7159"/>
              </w:tabs>
              <w:autoSpaceDE w:val="0"/>
              <w:autoSpaceDN w:val="0"/>
              <w:adjustRightInd w:val="0"/>
              <w:spacing w:after="0"/>
              <w:jc w:val="center"/>
              <w:rPr>
                <w:rFonts w:cs="Arial"/>
                <w:b/>
                <w:sz w:val="20"/>
                <w:szCs w:val="20"/>
              </w:rPr>
            </w:pPr>
            <w:r w:rsidRPr="00E72307">
              <w:rPr>
                <w:rFonts w:cs="Arial"/>
                <w:b/>
                <w:i/>
                <w:sz w:val="20"/>
                <w:szCs w:val="20"/>
              </w:rPr>
              <w:t>Strong rural community strategic planning and implementation</w:t>
            </w:r>
          </w:p>
        </w:tc>
      </w:tr>
      <w:tr w:rsidR="00305D11" w:rsidRPr="00E72307" w14:paraId="48FA43F3" w14:textId="77777777" w:rsidTr="0090536B">
        <w:trPr>
          <w:trHeight w:val="443"/>
        </w:trPr>
        <w:tc>
          <w:tcPr>
            <w:tcW w:w="8568" w:type="dxa"/>
            <w:tcBorders>
              <w:top w:val="single" w:sz="4" w:space="0" w:color="000000"/>
              <w:bottom w:val="single" w:sz="4" w:space="0" w:color="auto"/>
            </w:tcBorders>
            <w:vAlign w:val="center"/>
          </w:tcPr>
          <w:p w14:paraId="3605F368" w14:textId="77777777" w:rsidR="0063129F" w:rsidRPr="00E351D5" w:rsidRDefault="00305D11" w:rsidP="00CE1F1B">
            <w:pPr>
              <w:keepNext/>
              <w:keepLines/>
              <w:tabs>
                <w:tab w:val="left" w:pos="6024"/>
                <w:tab w:val="left" w:pos="7159"/>
              </w:tabs>
              <w:autoSpaceDE w:val="0"/>
              <w:autoSpaceDN w:val="0"/>
              <w:adjustRightInd w:val="0"/>
              <w:rPr>
                <w:rFonts w:cs="Arial"/>
                <w:b/>
                <w:sz w:val="20"/>
                <w:szCs w:val="20"/>
              </w:rPr>
            </w:pPr>
            <w:r w:rsidRPr="00E351D5">
              <w:rPr>
                <w:rFonts w:cs="Arial"/>
                <w:sz w:val="20"/>
                <w:szCs w:val="20"/>
              </w:rPr>
              <w:t>1. Total number</w:t>
            </w:r>
            <w:r w:rsidR="003E2596">
              <w:rPr>
                <w:rFonts w:cs="Arial"/>
                <w:sz w:val="20"/>
                <w:szCs w:val="20"/>
              </w:rPr>
              <w:t xml:space="preserve"> of community</w:t>
            </w:r>
            <w:r w:rsidR="00D011D2">
              <w:rPr>
                <w:rFonts w:cs="Arial"/>
                <w:sz w:val="20"/>
                <w:szCs w:val="20"/>
              </w:rPr>
              <w:t>-</w:t>
            </w:r>
            <w:r w:rsidR="003E2596">
              <w:rPr>
                <w:rFonts w:cs="Arial"/>
                <w:sz w:val="20"/>
                <w:szCs w:val="20"/>
              </w:rPr>
              <w:t>based projects</w:t>
            </w:r>
            <w:r w:rsidR="00716BF1">
              <w:rPr>
                <w:rFonts w:cs="Arial"/>
                <w:sz w:val="20"/>
                <w:szCs w:val="20"/>
              </w:rPr>
              <w:t xml:space="preserve"> (new &amp; on-going)</w:t>
            </w:r>
          </w:p>
        </w:tc>
        <w:tc>
          <w:tcPr>
            <w:tcW w:w="1170" w:type="dxa"/>
            <w:tcBorders>
              <w:top w:val="single" w:sz="4" w:space="0" w:color="000000"/>
              <w:bottom w:val="single" w:sz="4" w:space="0" w:color="auto"/>
            </w:tcBorders>
            <w:vAlign w:val="center"/>
          </w:tcPr>
          <w:p w14:paraId="1D57B653" w14:textId="26959BAD" w:rsidR="00305D11"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31</w:t>
            </w:r>
          </w:p>
        </w:tc>
      </w:tr>
      <w:tr w:rsidR="00D011D2" w:rsidRPr="00E72307" w14:paraId="50470208" w14:textId="77777777" w:rsidTr="0090536B">
        <w:trPr>
          <w:trHeight w:val="443"/>
        </w:trPr>
        <w:tc>
          <w:tcPr>
            <w:tcW w:w="8568" w:type="dxa"/>
            <w:tcBorders>
              <w:top w:val="single" w:sz="4" w:space="0" w:color="000000"/>
              <w:bottom w:val="single" w:sz="4" w:space="0" w:color="auto"/>
            </w:tcBorders>
            <w:vAlign w:val="center"/>
          </w:tcPr>
          <w:p w14:paraId="440DAB27" w14:textId="77777777" w:rsidR="00D011D2" w:rsidRPr="00E351D5" w:rsidRDefault="00D011D2" w:rsidP="00716BF1">
            <w:pPr>
              <w:keepNext/>
              <w:keepLines/>
              <w:tabs>
                <w:tab w:val="left" w:pos="6024"/>
                <w:tab w:val="left" w:pos="7159"/>
              </w:tabs>
              <w:autoSpaceDE w:val="0"/>
              <w:autoSpaceDN w:val="0"/>
              <w:adjustRightInd w:val="0"/>
              <w:rPr>
                <w:rFonts w:cs="Arial"/>
                <w:b/>
                <w:sz w:val="20"/>
                <w:szCs w:val="20"/>
              </w:rPr>
            </w:pPr>
            <w:r>
              <w:rPr>
                <w:rFonts w:cs="Arial"/>
                <w:sz w:val="20"/>
                <w:szCs w:val="20"/>
              </w:rPr>
              <w:t>2</w:t>
            </w:r>
            <w:r w:rsidRPr="00E351D5">
              <w:rPr>
                <w:rFonts w:cs="Arial"/>
                <w:sz w:val="20"/>
                <w:szCs w:val="20"/>
              </w:rPr>
              <w:t xml:space="preserve">. </w:t>
            </w:r>
            <w:r w:rsidR="00716BF1">
              <w:rPr>
                <w:rFonts w:cs="Arial"/>
                <w:sz w:val="20"/>
                <w:szCs w:val="20"/>
              </w:rPr>
              <w:t xml:space="preserve">Total number of local and </w:t>
            </w:r>
            <w:proofErr w:type="gramStart"/>
            <w:r w:rsidR="00716BF1">
              <w:rPr>
                <w:rFonts w:cs="Arial"/>
                <w:sz w:val="20"/>
                <w:szCs w:val="20"/>
              </w:rPr>
              <w:t>regionally-based</w:t>
            </w:r>
            <w:proofErr w:type="gramEnd"/>
            <w:r w:rsidR="00716BF1">
              <w:rPr>
                <w:rFonts w:cs="Arial"/>
                <w:sz w:val="20"/>
                <w:szCs w:val="20"/>
              </w:rPr>
              <w:t xml:space="preserve"> community strategic</w:t>
            </w:r>
            <w:r w:rsidR="00CE1F1B">
              <w:rPr>
                <w:rFonts w:cs="Arial"/>
                <w:sz w:val="20"/>
                <w:szCs w:val="20"/>
              </w:rPr>
              <w:t xml:space="preserve"> plans developed and/or updated</w:t>
            </w:r>
          </w:p>
        </w:tc>
        <w:tc>
          <w:tcPr>
            <w:tcW w:w="1170" w:type="dxa"/>
            <w:tcBorders>
              <w:top w:val="single" w:sz="4" w:space="0" w:color="000000"/>
              <w:bottom w:val="single" w:sz="4" w:space="0" w:color="auto"/>
            </w:tcBorders>
            <w:vAlign w:val="center"/>
          </w:tcPr>
          <w:p w14:paraId="5B6BC3E5" w14:textId="5481FF5B" w:rsidR="00D011D2" w:rsidRPr="00E72307" w:rsidRDefault="00FF18F2" w:rsidP="00D011D2">
            <w:pPr>
              <w:keepNext/>
              <w:keepLines/>
              <w:tabs>
                <w:tab w:val="left" w:pos="6024"/>
                <w:tab w:val="left" w:pos="7159"/>
              </w:tabs>
              <w:autoSpaceDE w:val="0"/>
              <w:autoSpaceDN w:val="0"/>
              <w:adjustRightInd w:val="0"/>
              <w:jc w:val="center"/>
              <w:rPr>
                <w:rFonts w:cs="Arial"/>
                <w:b/>
                <w:sz w:val="20"/>
                <w:szCs w:val="20"/>
              </w:rPr>
            </w:pPr>
            <w:r>
              <w:rPr>
                <w:rFonts w:cs="Arial"/>
                <w:b/>
                <w:sz w:val="20"/>
                <w:szCs w:val="20"/>
              </w:rPr>
              <w:t>2</w:t>
            </w:r>
          </w:p>
        </w:tc>
      </w:tr>
      <w:tr w:rsidR="003E2596" w:rsidRPr="00E72307" w14:paraId="6DBE85C1" w14:textId="77777777" w:rsidTr="0090536B">
        <w:trPr>
          <w:trHeight w:val="463"/>
        </w:trPr>
        <w:tc>
          <w:tcPr>
            <w:tcW w:w="8568" w:type="dxa"/>
            <w:tcBorders>
              <w:top w:val="single" w:sz="4" w:space="0" w:color="auto"/>
            </w:tcBorders>
            <w:vAlign w:val="center"/>
          </w:tcPr>
          <w:p w14:paraId="4F25BE94" w14:textId="77777777" w:rsidR="003E2596" w:rsidRPr="00E351D5" w:rsidRDefault="003E2596" w:rsidP="00D011D2">
            <w:pPr>
              <w:keepNext/>
              <w:keepLines/>
              <w:tabs>
                <w:tab w:val="left" w:pos="6024"/>
                <w:tab w:val="left" w:pos="7159"/>
              </w:tabs>
              <w:autoSpaceDE w:val="0"/>
              <w:autoSpaceDN w:val="0"/>
              <w:adjustRightInd w:val="0"/>
              <w:ind w:left="270"/>
              <w:jc w:val="center"/>
              <w:rPr>
                <w:rFonts w:cs="Arial"/>
                <w:i/>
                <w:sz w:val="20"/>
                <w:szCs w:val="20"/>
              </w:rPr>
            </w:pPr>
            <w:r w:rsidRPr="00E72307">
              <w:rPr>
                <w:rFonts w:cs="Arial"/>
                <w:b/>
                <w:i/>
                <w:sz w:val="20"/>
                <w:szCs w:val="20"/>
              </w:rPr>
              <w:t>Rural access to business development services</w:t>
            </w:r>
          </w:p>
        </w:tc>
        <w:tc>
          <w:tcPr>
            <w:tcW w:w="1170" w:type="dxa"/>
            <w:tcBorders>
              <w:top w:val="single" w:sz="4" w:space="0" w:color="auto"/>
              <w:bottom w:val="single" w:sz="4" w:space="0" w:color="auto"/>
            </w:tcBorders>
            <w:vAlign w:val="center"/>
          </w:tcPr>
          <w:p w14:paraId="760D0D27" w14:textId="77777777" w:rsidR="003E2596" w:rsidRPr="00E72307" w:rsidRDefault="003E2596" w:rsidP="00D011D2">
            <w:pPr>
              <w:keepNext/>
              <w:keepLines/>
              <w:tabs>
                <w:tab w:val="left" w:pos="6024"/>
                <w:tab w:val="left" w:pos="7159"/>
              </w:tabs>
              <w:autoSpaceDE w:val="0"/>
              <w:autoSpaceDN w:val="0"/>
              <w:adjustRightInd w:val="0"/>
              <w:jc w:val="center"/>
              <w:rPr>
                <w:rFonts w:cs="Arial"/>
                <w:b/>
                <w:sz w:val="20"/>
                <w:szCs w:val="20"/>
              </w:rPr>
            </w:pPr>
          </w:p>
        </w:tc>
      </w:tr>
      <w:tr w:rsidR="003E2596" w:rsidRPr="00E72307" w14:paraId="22939AE6" w14:textId="77777777" w:rsidTr="0090536B">
        <w:trPr>
          <w:trHeight w:val="463"/>
        </w:trPr>
        <w:tc>
          <w:tcPr>
            <w:tcW w:w="8568" w:type="dxa"/>
            <w:vAlign w:val="center"/>
          </w:tcPr>
          <w:p w14:paraId="411E2F3B" w14:textId="77777777" w:rsidR="003E2596" w:rsidRPr="00FE5858" w:rsidRDefault="00FE5858" w:rsidP="00FE5858">
            <w:pPr>
              <w:keepNext/>
              <w:keepLines/>
              <w:tabs>
                <w:tab w:val="left" w:pos="6024"/>
                <w:tab w:val="left" w:pos="7159"/>
              </w:tabs>
              <w:autoSpaceDE w:val="0"/>
              <w:autoSpaceDN w:val="0"/>
              <w:adjustRightInd w:val="0"/>
              <w:rPr>
                <w:rFonts w:cs="Arial"/>
                <w:i/>
                <w:sz w:val="20"/>
                <w:szCs w:val="20"/>
              </w:rPr>
            </w:pPr>
            <w:r>
              <w:rPr>
                <w:rFonts w:cs="Arial"/>
                <w:sz w:val="20"/>
                <w:szCs w:val="20"/>
              </w:rPr>
              <w:t>3</w:t>
            </w:r>
            <w:r w:rsidR="003E2596" w:rsidRPr="00FE5858">
              <w:rPr>
                <w:rFonts w:cs="Arial"/>
                <w:sz w:val="20"/>
                <w:szCs w:val="20"/>
              </w:rPr>
              <w:t xml:space="preserve">. </w:t>
            </w:r>
            <w:r w:rsidR="00CE1F1B" w:rsidRPr="00FE5858">
              <w:rPr>
                <w:rFonts w:cs="Arial"/>
                <w:sz w:val="20"/>
                <w:szCs w:val="20"/>
              </w:rPr>
              <w:t>Total n</w:t>
            </w:r>
            <w:r w:rsidR="003E2596" w:rsidRPr="00FE5858">
              <w:rPr>
                <w:rFonts w:cs="Arial"/>
                <w:sz w:val="20"/>
                <w:szCs w:val="20"/>
              </w:rPr>
              <w:t xml:space="preserve">umber of business training session participants </w:t>
            </w:r>
          </w:p>
        </w:tc>
        <w:tc>
          <w:tcPr>
            <w:tcW w:w="1170" w:type="dxa"/>
            <w:tcBorders>
              <w:top w:val="single" w:sz="4" w:space="0" w:color="auto"/>
              <w:bottom w:val="single" w:sz="4" w:space="0" w:color="auto"/>
            </w:tcBorders>
            <w:vAlign w:val="center"/>
          </w:tcPr>
          <w:p w14:paraId="3E06B67C" w14:textId="66E3CB9C" w:rsidR="003E2596"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839</w:t>
            </w:r>
          </w:p>
        </w:tc>
      </w:tr>
      <w:tr w:rsidR="003E2596" w:rsidRPr="00E72307" w14:paraId="74F7E9F3" w14:textId="77777777" w:rsidTr="0090536B">
        <w:trPr>
          <w:trHeight w:val="463"/>
        </w:trPr>
        <w:tc>
          <w:tcPr>
            <w:tcW w:w="8568" w:type="dxa"/>
            <w:vAlign w:val="center"/>
          </w:tcPr>
          <w:p w14:paraId="13AA39F5" w14:textId="77777777" w:rsidR="003E2596" w:rsidRPr="00FE5858" w:rsidRDefault="00FE5858" w:rsidP="00FE5858">
            <w:pPr>
              <w:keepNext/>
              <w:keepLines/>
              <w:tabs>
                <w:tab w:val="left" w:pos="6024"/>
                <w:tab w:val="left" w:pos="7159"/>
              </w:tabs>
              <w:autoSpaceDE w:val="0"/>
              <w:autoSpaceDN w:val="0"/>
              <w:adjustRightInd w:val="0"/>
              <w:rPr>
                <w:rFonts w:cs="Arial"/>
                <w:i/>
                <w:sz w:val="20"/>
                <w:szCs w:val="20"/>
              </w:rPr>
            </w:pPr>
            <w:r>
              <w:rPr>
                <w:rFonts w:cs="Arial"/>
                <w:sz w:val="20"/>
                <w:szCs w:val="20"/>
              </w:rPr>
              <w:t>4</w:t>
            </w:r>
            <w:r w:rsidR="003E2596" w:rsidRPr="00FE5858">
              <w:rPr>
                <w:rFonts w:cs="Arial"/>
                <w:sz w:val="20"/>
                <w:szCs w:val="20"/>
              </w:rPr>
              <w:t xml:space="preserve">. </w:t>
            </w:r>
            <w:r w:rsidR="00CE1F1B" w:rsidRPr="00FE5858">
              <w:rPr>
                <w:rFonts w:cs="Arial"/>
                <w:sz w:val="20"/>
                <w:szCs w:val="20"/>
              </w:rPr>
              <w:t>Total n</w:t>
            </w:r>
            <w:r w:rsidR="003E2596" w:rsidRPr="00FE5858">
              <w:rPr>
                <w:rFonts w:cs="Arial"/>
                <w:sz w:val="20"/>
                <w:szCs w:val="20"/>
              </w:rPr>
              <w:t xml:space="preserve">umber of business advisory services </w:t>
            </w:r>
          </w:p>
        </w:tc>
        <w:tc>
          <w:tcPr>
            <w:tcW w:w="1170" w:type="dxa"/>
            <w:tcBorders>
              <w:top w:val="single" w:sz="4" w:space="0" w:color="auto"/>
              <w:bottom w:val="single" w:sz="4" w:space="0" w:color="auto"/>
            </w:tcBorders>
            <w:vAlign w:val="center"/>
          </w:tcPr>
          <w:p w14:paraId="047E1BAA" w14:textId="38FB4C30" w:rsidR="003E2596"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466</w:t>
            </w:r>
          </w:p>
        </w:tc>
      </w:tr>
      <w:tr w:rsidR="003E2596" w:rsidRPr="00E72307" w14:paraId="6CD15709" w14:textId="77777777" w:rsidTr="0090536B">
        <w:trPr>
          <w:trHeight w:val="463"/>
        </w:trPr>
        <w:tc>
          <w:tcPr>
            <w:tcW w:w="8568" w:type="dxa"/>
            <w:vAlign w:val="center"/>
          </w:tcPr>
          <w:p w14:paraId="65D6FB06" w14:textId="77777777" w:rsidR="003E2596" w:rsidRPr="00E351D5" w:rsidRDefault="003E2596" w:rsidP="0056519D">
            <w:pPr>
              <w:keepNext/>
              <w:keepLines/>
              <w:tabs>
                <w:tab w:val="left" w:pos="6024"/>
                <w:tab w:val="left" w:pos="7159"/>
              </w:tabs>
              <w:autoSpaceDE w:val="0"/>
              <w:autoSpaceDN w:val="0"/>
              <w:adjustRightInd w:val="0"/>
              <w:ind w:left="270"/>
              <w:jc w:val="center"/>
              <w:rPr>
                <w:rFonts w:cs="Arial"/>
                <w:i/>
                <w:sz w:val="20"/>
                <w:szCs w:val="20"/>
              </w:rPr>
            </w:pPr>
            <w:r w:rsidRPr="00E72307">
              <w:rPr>
                <w:rFonts w:cs="Arial"/>
                <w:b/>
                <w:i/>
                <w:sz w:val="20"/>
                <w:szCs w:val="20"/>
              </w:rPr>
              <w:t>Rural access to capital and leveraged capital</w:t>
            </w:r>
          </w:p>
        </w:tc>
        <w:tc>
          <w:tcPr>
            <w:tcW w:w="1170" w:type="dxa"/>
            <w:tcBorders>
              <w:top w:val="single" w:sz="4" w:space="0" w:color="auto"/>
              <w:bottom w:val="single" w:sz="4" w:space="0" w:color="000000"/>
            </w:tcBorders>
            <w:vAlign w:val="center"/>
          </w:tcPr>
          <w:p w14:paraId="0368F6D1" w14:textId="77777777" w:rsidR="003E2596" w:rsidRPr="00E72307" w:rsidRDefault="003E2596" w:rsidP="000032F8">
            <w:pPr>
              <w:keepNext/>
              <w:keepLines/>
              <w:tabs>
                <w:tab w:val="left" w:pos="6024"/>
                <w:tab w:val="left" w:pos="7159"/>
              </w:tabs>
              <w:autoSpaceDE w:val="0"/>
              <w:autoSpaceDN w:val="0"/>
              <w:adjustRightInd w:val="0"/>
              <w:jc w:val="center"/>
              <w:rPr>
                <w:rFonts w:cs="Arial"/>
                <w:b/>
                <w:sz w:val="20"/>
                <w:szCs w:val="20"/>
              </w:rPr>
            </w:pPr>
          </w:p>
        </w:tc>
      </w:tr>
      <w:tr w:rsidR="00BE6567" w:rsidRPr="00E72307" w14:paraId="2DA4D307" w14:textId="77777777" w:rsidTr="0090536B">
        <w:trPr>
          <w:trHeight w:val="355"/>
        </w:trPr>
        <w:tc>
          <w:tcPr>
            <w:tcW w:w="8568" w:type="dxa"/>
            <w:vAlign w:val="center"/>
          </w:tcPr>
          <w:p w14:paraId="3604ED6E" w14:textId="77777777" w:rsidR="00BE6567" w:rsidRDefault="00FE5858" w:rsidP="00FE5858">
            <w:pPr>
              <w:keepNext/>
              <w:keepLines/>
              <w:tabs>
                <w:tab w:val="left" w:pos="6024"/>
                <w:tab w:val="left" w:pos="7159"/>
              </w:tabs>
              <w:autoSpaceDE w:val="0"/>
              <w:autoSpaceDN w:val="0"/>
              <w:adjustRightInd w:val="0"/>
              <w:rPr>
                <w:rFonts w:cs="Arial"/>
                <w:sz w:val="20"/>
                <w:szCs w:val="20"/>
              </w:rPr>
            </w:pPr>
            <w:r>
              <w:rPr>
                <w:rFonts w:cs="Arial"/>
                <w:sz w:val="20"/>
                <w:szCs w:val="20"/>
              </w:rPr>
              <w:t>5</w:t>
            </w:r>
            <w:r w:rsidR="00BE6567">
              <w:rPr>
                <w:rFonts w:cs="Arial"/>
                <w:sz w:val="20"/>
                <w:szCs w:val="20"/>
              </w:rPr>
              <w:t>.  Dollar value of loans</w:t>
            </w:r>
          </w:p>
        </w:tc>
        <w:tc>
          <w:tcPr>
            <w:tcW w:w="1170" w:type="dxa"/>
            <w:vAlign w:val="center"/>
          </w:tcPr>
          <w:p w14:paraId="761563DC" w14:textId="1FB6B33A" w:rsidR="00BE6567"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138,500</w:t>
            </w:r>
          </w:p>
        </w:tc>
      </w:tr>
      <w:tr w:rsidR="004E0068" w:rsidRPr="00E72307" w14:paraId="57CD6B30" w14:textId="77777777" w:rsidTr="0090536B">
        <w:trPr>
          <w:trHeight w:val="355"/>
        </w:trPr>
        <w:tc>
          <w:tcPr>
            <w:tcW w:w="8568" w:type="dxa"/>
            <w:vAlign w:val="center"/>
          </w:tcPr>
          <w:p w14:paraId="274080CC" w14:textId="77777777" w:rsidR="004E0068" w:rsidRDefault="00FE5858" w:rsidP="00FE5858">
            <w:pPr>
              <w:keepNext/>
              <w:keepLines/>
              <w:tabs>
                <w:tab w:val="left" w:pos="6024"/>
                <w:tab w:val="left" w:pos="7159"/>
              </w:tabs>
              <w:autoSpaceDE w:val="0"/>
              <w:autoSpaceDN w:val="0"/>
              <w:adjustRightInd w:val="0"/>
              <w:rPr>
                <w:rFonts w:cs="Arial"/>
                <w:sz w:val="20"/>
                <w:szCs w:val="20"/>
              </w:rPr>
            </w:pPr>
            <w:r>
              <w:rPr>
                <w:rFonts w:cs="Arial"/>
                <w:sz w:val="20"/>
                <w:szCs w:val="20"/>
              </w:rPr>
              <w:t>6</w:t>
            </w:r>
            <w:r w:rsidR="004E0068">
              <w:rPr>
                <w:rFonts w:cs="Arial"/>
                <w:sz w:val="20"/>
                <w:szCs w:val="20"/>
              </w:rPr>
              <w:t xml:space="preserve">. </w:t>
            </w:r>
            <w:r w:rsidR="00CE1F1B">
              <w:rPr>
                <w:rFonts w:cs="Arial"/>
                <w:sz w:val="20"/>
                <w:szCs w:val="20"/>
              </w:rPr>
              <w:t>Total n</w:t>
            </w:r>
            <w:r w:rsidR="004E0068">
              <w:rPr>
                <w:rFonts w:cs="Arial"/>
                <w:sz w:val="20"/>
                <w:szCs w:val="20"/>
              </w:rPr>
              <w:t>umber</w:t>
            </w:r>
            <w:r w:rsidR="004E0068" w:rsidRPr="00E72307">
              <w:rPr>
                <w:rFonts w:cs="Arial"/>
                <w:sz w:val="20"/>
                <w:szCs w:val="20"/>
              </w:rPr>
              <w:t xml:space="preserve"> of loans  </w:t>
            </w:r>
          </w:p>
        </w:tc>
        <w:tc>
          <w:tcPr>
            <w:tcW w:w="1170" w:type="dxa"/>
            <w:vAlign w:val="center"/>
          </w:tcPr>
          <w:p w14:paraId="7099CFFF" w14:textId="3F06798F" w:rsidR="004E0068"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5</w:t>
            </w:r>
          </w:p>
        </w:tc>
      </w:tr>
      <w:tr w:rsidR="003E2596" w:rsidRPr="00E72307" w14:paraId="01B95258" w14:textId="77777777" w:rsidTr="0090536B">
        <w:trPr>
          <w:trHeight w:val="355"/>
        </w:trPr>
        <w:tc>
          <w:tcPr>
            <w:tcW w:w="8568" w:type="dxa"/>
            <w:vAlign w:val="center"/>
          </w:tcPr>
          <w:p w14:paraId="7E95EC85" w14:textId="77777777" w:rsidR="003E2596" w:rsidRDefault="00FE5858" w:rsidP="00FE5858">
            <w:pPr>
              <w:keepNext/>
              <w:keepLines/>
              <w:tabs>
                <w:tab w:val="left" w:pos="6024"/>
                <w:tab w:val="left" w:pos="7159"/>
              </w:tabs>
              <w:autoSpaceDE w:val="0"/>
              <w:autoSpaceDN w:val="0"/>
              <w:adjustRightInd w:val="0"/>
              <w:jc w:val="both"/>
              <w:rPr>
                <w:rFonts w:cs="Arial"/>
                <w:sz w:val="20"/>
                <w:szCs w:val="20"/>
              </w:rPr>
            </w:pPr>
            <w:r>
              <w:rPr>
                <w:rFonts w:cs="Arial"/>
                <w:sz w:val="20"/>
                <w:szCs w:val="20"/>
              </w:rPr>
              <w:t>7</w:t>
            </w:r>
            <w:r w:rsidR="004E0068">
              <w:rPr>
                <w:rFonts w:cs="Arial"/>
                <w:sz w:val="20"/>
                <w:szCs w:val="20"/>
              </w:rPr>
              <w:t>. Number</w:t>
            </w:r>
            <w:r w:rsidR="004E0068" w:rsidRPr="00E72307">
              <w:rPr>
                <w:rFonts w:cs="Arial"/>
                <w:sz w:val="20"/>
                <w:szCs w:val="20"/>
              </w:rPr>
              <w:t xml:space="preserve"> of </w:t>
            </w:r>
            <w:r w:rsidR="004E0068">
              <w:rPr>
                <w:rFonts w:cs="Arial"/>
                <w:sz w:val="20"/>
                <w:szCs w:val="20"/>
              </w:rPr>
              <w:t>jobs created/maintained/expanded</w:t>
            </w:r>
            <w:r w:rsidR="00716BF1">
              <w:rPr>
                <w:rFonts w:cs="Arial"/>
                <w:sz w:val="20"/>
                <w:szCs w:val="20"/>
              </w:rPr>
              <w:t xml:space="preserve"> </w:t>
            </w:r>
            <w:r w:rsidR="004E0068">
              <w:rPr>
                <w:rFonts w:cs="Arial"/>
                <w:sz w:val="20"/>
                <w:szCs w:val="20"/>
              </w:rPr>
              <w:t>through lending</w:t>
            </w:r>
            <w:r w:rsidR="004E0068">
              <w:rPr>
                <w:rStyle w:val="FootnoteReference"/>
                <w:rFonts w:cs="Arial"/>
                <w:sz w:val="20"/>
                <w:szCs w:val="20"/>
              </w:rPr>
              <w:footnoteReference w:id="1"/>
            </w:r>
          </w:p>
        </w:tc>
        <w:tc>
          <w:tcPr>
            <w:tcW w:w="1170" w:type="dxa"/>
            <w:vAlign w:val="center"/>
          </w:tcPr>
          <w:p w14:paraId="589FB395" w14:textId="76723358" w:rsidR="003E2596" w:rsidRPr="00E72307" w:rsidRDefault="00FF18F2"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8</w:t>
            </w:r>
          </w:p>
        </w:tc>
      </w:tr>
      <w:tr w:rsidR="003E2596" w:rsidRPr="00E72307" w14:paraId="253460BD" w14:textId="77777777" w:rsidTr="000032F8">
        <w:trPr>
          <w:trHeight w:val="562"/>
        </w:trPr>
        <w:tc>
          <w:tcPr>
            <w:tcW w:w="9738" w:type="dxa"/>
            <w:gridSpan w:val="2"/>
            <w:vAlign w:val="center"/>
          </w:tcPr>
          <w:p w14:paraId="3D98AD12" w14:textId="77777777" w:rsidR="003E2596" w:rsidRPr="00E72307" w:rsidRDefault="003E2596" w:rsidP="000032F8">
            <w:pPr>
              <w:keepNext/>
              <w:keepLines/>
              <w:tabs>
                <w:tab w:val="left" w:pos="6024"/>
                <w:tab w:val="left" w:pos="7159"/>
              </w:tabs>
              <w:autoSpaceDE w:val="0"/>
              <w:autoSpaceDN w:val="0"/>
              <w:adjustRightInd w:val="0"/>
              <w:rPr>
                <w:rFonts w:cs="Arial"/>
                <w:b/>
                <w:sz w:val="20"/>
                <w:szCs w:val="20"/>
              </w:rPr>
            </w:pPr>
          </w:p>
        </w:tc>
      </w:tr>
    </w:tbl>
    <w:tbl>
      <w:tblPr>
        <w:tblStyle w:val="TableGrid"/>
        <w:tblW w:w="9720" w:type="dxa"/>
        <w:tblInd w:w="18" w:type="dxa"/>
        <w:tblLook w:val="04A0" w:firstRow="1" w:lastRow="0" w:firstColumn="1" w:lastColumn="0" w:noHBand="0" w:noVBand="1"/>
      </w:tblPr>
      <w:tblGrid>
        <w:gridCol w:w="9720"/>
      </w:tblGrid>
      <w:tr w:rsidR="00F609C9" w14:paraId="1194961D" w14:textId="77777777" w:rsidTr="004F6A16">
        <w:tc>
          <w:tcPr>
            <w:tcW w:w="9720" w:type="dxa"/>
          </w:tcPr>
          <w:p w14:paraId="656FEAEE" w14:textId="5666CF8A" w:rsidR="000032F8" w:rsidRPr="00B86B60" w:rsidRDefault="00B86B60" w:rsidP="00A9248A">
            <w:pPr>
              <w:ind w:left="64"/>
              <w:rPr>
                <w:rFonts w:cs="Arial"/>
                <w:sz w:val="20"/>
                <w:szCs w:val="20"/>
              </w:rPr>
            </w:pPr>
            <w:r w:rsidRPr="00B86B60">
              <w:rPr>
                <w:rFonts w:cs="Arial"/>
                <w:sz w:val="20"/>
                <w:szCs w:val="20"/>
              </w:rPr>
              <w:t>Provide a</w:t>
            </w:r>
            <w:r w:rsidR="008B0CCB" w:rsidRPr="00B86B60">
              <w:rPr>
                <w:rFonts w:cs="Arial"/>
                <w:sz w:val="20"/>
                <w:szCs w:val="20"/>
              </w:rPr>
              <w:t>dditional Information</w:t>
            </w:r>
            <w:r w:rsidRPr="00B86B60">
              <w:rPr>
                <w:rFonts w:cs="Arial"/>
                <w:sz w:val="20"/>
                <w:szCs w:val="20"/>
              </w:rPr>
              <w:t xml:space="preserve"> (e.g. Success stories, </w:t>
            </w:r>
            <w:r w:rsidR="00E514E4">
              <w:rPr>
                <w:rFonts w:cs="Arial"/>
                <w:sz w:val="20"/>
                <w:szCs w:val="20"/>
              </w:rPr>
              <w:t xml:space="preserve">Links to priorities, </w:t>
            </w:r>
            <w:r w:rsidRPr="00B86B60">
              <w:rPr>
                <w:rFonts w:cs="Arial"/>
                <w:sz w:val="20"/>
                <w:szCs w:val="20"/>
              </w:rPr>
              <w:t>leveraging work, communication events, etc</w:t>
            </w:r>
            <w:r w:rsidR="00260903">
              <w:rPr>
                <w:rFonts w:cs="Arial"/>
                <w:sz w:val="20"/>
                <w:szCs w:val="20"/>
              </w:rPr>
              <w:t>.</w:t>
            </w:r>
            <w:r w:rsidRPr="00B86B60">
              <w:rPr>
                <w:rFonts w:cs="Arial"/>
                <w:sz w:val="20"/>
                <w:szCs w:val="20"/>
              </w:rPr>
              <w:t>)</w:t>
            </w:r>
            <w:r w:rsidR="000032F8">
              <w:rPr>
                <w:rFonts w:cs="Arial"/>
                <w:sz w:val="20"/>
                <w:szCs w:val="20"/>
              </w:rPr>
              <w:t xml:space="preserve"> </w:t>
            </w:r>
            <w:r w:rsidR="000032F8">
              <w:rPr>
                <w:rFonts w:cs="Arial"/>
                <w:sz w:val="20"/>
                <w:szCs w:val="20"/>
              </w:rPr>
              <w:br/>
            </w:r>
          </w:p>
        </w:tc>
      </w:tr>
      <w:tr w:rsidR="00F609C9" w14:paraId="79FC7B7E" w14:textId="77777777" w:rsidTr="004F6A16">
        <w:tc>
          <w:tcPr>
            <w:tcW w:w="9720" w:type="dxa"/>
          </w:tcPr>
          <w:p w14:paraId="191A2975" w14:textId="77777777" w:rsidR="00FF18F2" w:rsidRPr="00FF18F2" w:rsidRDefault="00FF18F2" w:rsidP="00FF18F2">
            <w:pPr>
              <w:spacing w:before="240"/>
              <w:rPr>
                <w:rFonts w:cs="Arial"/>
                <w:sz w:val="20"/>
                <w:szCs w:val="20"/>
              </w:rPr>
            </w:pPr>
            <w:r w:rsidRPr="00FF18F2">
              <w:rPr>
                <w:rFonts w:cs="Arial"/>
                <w:sz w:val="20"/>
                <w:szCs w:val="20"/>
              </w:rPr>
              <w:t>Community Futures Lesser Slave Lake Region (CFLSLR) continued to play an important role in supporting economic development, entrepreneurship, workforce development, and community growth throughout the Lesser Slave Lake Region during the 2025–2026 fiscal year. Despite ongoing economic uncertainty and changing market conditions, CFLSLR remained committed to helping local businesses, entrepreneurs, communities, and residents access the resources, financing, and support they need to succeed.</w:t>
            </w:r>
          </w:p>
          <w:p w14:paraId="1BB53F2E" w14:textId="77777777" w:rsidR="00FF18F2" w:rsidRPr="00FF18F2" w:rsidRDefault="00FF18F2" w:rsidP="00FF18F2">
            <w:pPr>
              <w:spacing w:before="240"/>
              <w:rPr>
                <w:rFonts w:cs="Arial"/>
                <w:sz w:val="20"/>
                <w:szCs w:val="20"/>
              </w:rPr>
            </w:pPr>
          </w:p>
          <w:p w14:paraId="13457ABD" w14:textId="77777777" w:rsidR="00FF18F2" w:rsidRPr="00FF18F2" w:rsidRDefault="00FF18F2" w:rsidP="00FF18F2">
            <w:pPr>
              <w:spacing w:before="240"/>
              <w:rPr>
                <w:rFonts w:cs="Arial"/>
                <w:sz w:val="20"/>
                <w:szCs w:val="20"/>
              </w:rPr>
            </w:pPr>
            <w:r w:rsidRPr="00FF18F2">
              <w:rPr>
                <w:rFonts w:cs="Arial"/>
                <w:sz w:val="20"/>
                <w:szCs w:val="20"/>
              </w:rPr>
              <w:t>One of the most significant achievements of the year was the successful delivery of the Youth Employment and Skills Strategy (YESS) / Youth Opportunities Unlimited (YOU) program. Through this initiative, CFLSLR provided local youth with meaningful opportunities to develop workplace skills, gain employment experience, build confidence, and explore future career pathways. The program fostered valuable partnerships with employers, community organizations, and educational stakeholders while supporting youth in overcoming barriers to employment. The graduation and successful completion of the program by participants demonstrated the positive impact that targeted workforce development initiatives can have on both individual participants and the broader regional economy.</w:t>
            </w:r>
          </w:p>
          <w:p w14:paraId="6B8272E2" w14:textId="77777777" w:rsidR="00FF18F2" w:rsidRPr="00FF18F2" w:rsidRDefault="00FF18F2" w:rsidP="00FF18F2">
            <w:pPr>
              <w:spacing w:before="240"/>
              <w:rPr>
                <w:rFonts w:cs="Arial"/>
                <w:sz w:val="20"/>
                <w:szCs w:val="20"/>
              </w:rPr>
            </w:pPr>
          </w:p>
          <w:p w14:paraId="067E3A39" w14:textId="77777777" w:rsidR="00FF18F2" w:rsidRPr="00FF18F2" w:rsidRDefault="00FF18F2" w:rsidP="00FF18F2">
            <w:pPr>
              <w:spacing w:before="240"/>
              <w:rPr>
                <w:rFonts w:cs="Arial"/>
                <w:sz w:val="20"/>
                <w:szCs w:val="20"/>
              </w:rPr>
            </w:pPr>
            <w:r w:rsidRPr="00FF18F2">
              <w:rPr>
                <w:rFonts w:cs="Arial"/>
                <w:sz w:val="20"/>
                <w:szCs w:val="20"/>
              </w:rPr>
              <w:lastRenderedPageBreak/>
              <w:t>Throughout the year, CFLSLR continued to provide business coaching, advisory services, strategic planning support, project development assistance, and community economic development services across the region. The organization worked closely with entrepreneurs and existing businesses to help them navigate challenges, pursue growth opportunities, and strengthen their operations. CFLSLR also continued to collaborate with municipal governments, Indigenous communities, regional partners, and economic development stakeholders to advance initiatives that contribute to long-term economic resilience and diversification.</w:t>
            </w:r>
          </w:p>
          <w:p w14:paraId="338C4266" w14:textId="77777777" w:rsidR="00FF18F2" w:rsidRPr="00FF18F2" w:rsidRDefault="00FF18F2" w:rsidP="00FF18F2">
            <w:pPr>
              <w:spacing w:before="240"/>
              <w:rPr>
                <w:rFonts w:cs="Arial"/>
                <w:sz w:val="20"/>
                <w:szCs w:val="20"/>
              </w:rPr>
            </w:pPr>
          </w:p>
          <w:p w14:paraId="26DC048B" w14:textId="77777777" w:rsidR="00FF18F2" w:rsidRPr="00FF18F2" w:rsidRDefault="00FF18F2" w:rsidP="00FF18F2">
            <w:pPr>
              <w:spacing w:before="240"/>
              <w:rPr>
                <w:rFonts w:cs="Arial"/>
                <w:sz w:val="20"/>
                <w:szCs w:val="20"/>
              </w:rPr>
            </w:pPr>
            <w:r w:rsidRPr="00FF18F2">
              <w:rPr>
                <w:rFonts w:cs="Arial"/>
                <w:sz w:val="20"/>
                <w:szCs w:val="20"/>
              </w:rPr>
              <w:t>While significant progress was made, the year also presented challenges. Economic uncertainty, rising operating costs, higher interest rates, labour shortages, and changing business confidence continued to affect entrepreneurs and small businesses throughout the region. These factors contributed to a more cautious borrowing environment, resulting in lower demand for financing than anticipated. As reflected in our lending performance, some clients delayed expansion plans, postponed investment decisions, or chose to pursue alternative financing strategies while waiting for economic conditions to stabilize.</w:t>
            </w:r>
          </w:p>
          <w:p w14:paraId="61A718E4" w14:textId="77777777" w:rsidR="00FF18F2" w:rsidRPr="00FF18F2" w:rsidRDefault="00FF18F2" w:rsidP="00FF18F2">
            <w:pPr>
              <w:spacing w:before="240"/>
              <w:rPr>
                <w:rFonts w:cs="Arial"/>
                <w:sz w:val="20"/>
                <w:szCs w:val="20"/>
              </w:rPr>
            </w:pPr>
          </w:p>
          <w:p w14:paraId="6272DF35" w14:textId="77777777" w:rsidR="00FF18F2" w:rsidRPr="00FF18F2" w:rsidRDefault="00FF18F2" w:rsidP="00FF18F2">
            <w:pPr>
              <w:spacing w:before="240"/>
              <w:rPr>
                <w:rFonts w:cs="Arial"/>
                <w:sz w:val="20"/>
                <w:szCs w:val="20"/>
              </w:rPr>
            </w:pPr>
            <w:r w:rsidRPr="00FF18F2">
              <w:rPr>
                <w:rFonts w:cs="Arial"/>
                <w:sz w:val="20"/>
                <w:szCs w:val="20"/>
              </w:rPr>
              <w:t xml:space="preserve">Recognizing these challenges, CFLSLR undertook </w:t>
            </w:r>
            <w:proofErr w:type="gramStart"/>
            <w:r w:rsidRPr="00FF18F2">
              <w:rPr>
                <w:rFonts w:cs="Arial"/>
                <w:sz w:val="20"/>
                <w:szCs w:val="20"/>
              </w:rPr>
              <w:t>a number of</w:t>
            </w:r>
            <w:proofErr w:type="gramEnd"/>
            <w:r w:rsidRPr="00FF18F2">
              <w:rPr>
                <w:rFonts w:cs="Arial"/>
                <w:sz w:val="20"/>
                <w:szCs w:val="20"/>
              </w:rPr>
              <w:t xml:space="preserve"> organizational improvements to better support clients and position the organization for future growth. This included reviewing and modernizing lending products, streamlining client service processes, implementing new software solutions to improve efficiency and client experience, and developing enhanced marketing and outreach strategies to increase awareness of available services. The Board of Directors also approved a renewed strategic direction focused on creating more streamlined, supportive, and client-centered service delivery.</w:t>
            </w:r>
          </w:p>
          <w:p w14:paraId="6BE9E22C" w14:textId="77777777" w:rsidR="00FF18F2" w:rsidRPr="00FF18F2" w:rsidRDefault="00FF18F2" w:rsidP="00FF18F2">
            <w:pPr>
              <w:spacing w:before="240"/>
              <w:rPr>
                <w:rFonts w:cs="Arial"/>
                <w:sz w:val="20"/>
                <w:szCs w:val="20"/>
              </w:rPr>
            </w:pPr>
          </w:p>
          <w:p w14:paraId="06969DBC" w14:textId="77777777" w:rsidR="00FF18F2" w:rsidRPr="00FF18F2" w:rsidRDefault="00FF18F2" w:rsidP="00FF18F2">
            <w:pPr>
              <w:spacing w:before="240"/>
              <w:rPr>
                <w:rFonts w:cs="Arial"/>
                <w:sz w:val="20"/>
                <w:szCs w:val="20"/>
              </w:rPr>
            </w:pPr>
            <w:r w:rsidRPr="00FF18F2">
              <w:rPr>
                <w:rFonts w:cs="Arial"/>
                <w:sz w:val="20"/>
                <w:szCs w:val="20"/>
              </w:rPr>
              <w:t>Looking forward, CFLSLR remains optimistic about the opportunities ahead. The organization will continue to focus on strengthening business development services, increasing access to capital, supporting workforce development initiatives, fostering regional partnerships, and helping communities build sustainable economic growth. The lessons learned throughout the past year have reinforced the importance of adaptability, collaboration, and innovation in meeting the evolving needs of our region.</w:t>
            </w:r>
          </w:p>
          <w:p w14:paraId="5B2DF090" w14:textId="77777777" w:rsidR="00FF18F2" w:rsidRPr="00FF18F2" w:rsidRDefault="00FF18F2" w:rsidP="00FF18F2">
            <w:pPr>
              <w:spacing w:before="240"/>
              <w:rPr>
                <w:rFonts w:cs="Arial"/>
                <w:sz w:val="20"/>
                <w:szCs w:val="20"/>
              </w:rPr>
            </w:pPr>
          </w:p>
          <w:p w14:paraId="0C4F8E5C" w14:textId="0C72B828" w:rsidR="00F609C9" w:rsidRDefault="00FF18F2" w:rsidP="00FF18F2">
            <w:pPr>
              <w:spacing w:before="240"/>
              <w:rPr>
                <w:rFonts w:cs="Arial"/>
                <w:sz w:val="20"/>
                <w:szCs w:val="20"/>
              </w:rPr>
            </w:pPr>
            <w:r w:rsidRPr="00FF18F2">
              <w:rPr>
                <w:rFonts w:cs="Arial"/>
                <w:sz w:val="20"/>
                <w:szCs w:val="20"/>
              </w:rPr>
              <w:t>CFLSLR would like to thank our funders, partners, volunteers, Board of Directors, staff, clients, and community stakeholders for their continued support and collaboration. Together, we are helping create stronger businesses, more resilient communities, and greater economic opportunities throughout the Lesser Slave Lake Region.</w:t>
            </w:r>
          </w:p>
          <w:p w14:paraId="63151F42" w14:textId="77777777" w:rsidR="00F609C9" w:rsidRDefault="004E0068" w:rsidP="004E0068">
            <w:pPr>
              <w:tabs>
                <w:tab w:val="left" w:pos="5891"/>
              </w:tabs>
              <w:spacing w:before="240"/>
              <w:rPr>
                <w:rFonts w:cs="Arial"/>
                <w:sz w:val="20"/>
                <w:szCs w:val="20"/>
              </w:rPr>
            </w:pPr>
            <w:r>
              <w:rPr>
                <w:rFonts w:cs="Arial"/>
                <w:sz w:val="20"/>
                <w:szCs w:val="20"/>
              </w:rPr>
              <w:tab/>
            </w:r>
          </w:p>
          <w:p w14:paraId="3C5D1DE3" w14:textId="77777777" w:rsidR="00F105C2" w:rsidRDefault="00F105C2" w:rsidP="00164DFE">
            <w:pPr>
              <w:spacing w:before="240"/>
              <w:rPr>
                <w:rFonts w:cs="Arial"/>
                <w:sz w:val="20"/>
                <w:szCs w:val="20"/>
              </w:rPr>
            </w:pPr>
          </w:p>
          <w:p w14:paraId="5B50716B" w14:textId="77777777" w:rsidR="00F105C2" w:rsidRDefault="00F105C2" w:rsidP="00164DFE">
            <w:pPr>
              <w:spacing w:before="240"/>
              <w:rPr>
                <w:rFonts w:cs="Arial"/>
                <w:sz w:val="20"/>
                <w:szCs w:val="20"/>
              </w:rPr>
            </w:pPr>
          </w:p>
          <w:p w14:paraId="381BFB8D" w14:textId="77777777" w:rsidR="00F105C2" w:rsidRDefault="00F105C2" w:rsidP="00164DFE">
            <w:pPr>
              <w:spacing w:before="240"/>
              <w:rPr>
                <w:rFonts w:cs="Arial"/>
                <w:sz w:val="20"/>
                <w:szCs w:val="20"/>
              </w:rPr>
            </w:pPr>
          </w:p>
          <w:p w14:paraId="248E165C" w14:textId="77777777" w:rsidR="00F609C9" w:rsidRDefault="00F609C9" w:rsidP="00164DFE">
            <w:pPr>
              <w:spacing w:before="240"/>
              <w:rPr>
                <w:rFonts w:cs="Arial"/>
                <w:sz w:val="20"/>
                <w:szCs w:val="20"/>
              </w:rPr>
            </w:pPr>
          </w:p>
        </w:tc>
      </w:tr>
    </w:tbl>
    <w:p w14:paraId="661A9A31" w14:textId="77777777" w:rsidR="00F105C2" w:rsidRDefault="00F105C2" w:rsidP="00476214">
      <w:pPr>
        <w:spacing w:before="240"/>
        <w:rPr>
          <w:rFonts w:cs="Arial"/>
          <w:b/>
          <w:i/>
          <w:sz w:val="24"/>
          <w:szCs w:val="20"/>
          <w:u w:val="single"/>
        </w:rPr>
      </w:pPr>
    </w:p>
    <w:sectPr w:rsidR="00F105C2" w:rsidSect="00A65AA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6217" w14:textId="77777777" w:rsidR="00061DDF" w:rsidRDefault="00061DDF" w:rsidP="00CC123A">
      <w:pPr>
        <w:spacing w:after="0" w:line="240" w:lineRule="auto"/>
      </w:pPr>
      <w:r>
        <w:separator/>
      </w:r>
    </w:p>
  </w:endnote>
  <w:endnote w:type="continuationSeparator" w:id="0">
    <w:p w14:paraId="29414AB3" w14:textId="77777777" w:rsidR="00061DDF" w:rsidRDefault="00061DDF" w:rsidP="00CC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74FD" w14:textId="77777777" w:rsidR="00061DDF" w:rsidRDefault="00061DDF" w:rsidP="00CC123A">
      <w:pPr>
        <w:spacing w:after="0" w:line="240" w:lineRule="auto"/>
      </w:pPr>
      <w:r>
        <w:separator/>
      </w:r>
    </w:p>
  </w:footnote>
  <w:footnote w:type="continuationSeparator" w:id="0">
    <w:p w14:paraId="0C09E9F1" w14:textId="77777777" w:rsidR="00061DDF" w:rsidRDefault="00061DDF" w:rsidP="00CC123A">
      <w:pPr>
        <w:spacing w:after="0" w:line="240" w:lineRule="auto"/>
      </w:pPr>
      <w:r>
        <w:continuationSeparator/>
      </w:r>
    </w:p>
  </w:footnote>
  <w:footnote w:id="1">
    <w:p w14:paraId="65946181" w14:textId="77777777" w:rsidR="004E0068" w:rsidRPr="004E0068" w:rsidRDefault="004E0068">
      <w:pPr>
        <w:pStyle w:val="FootnoteText"/>
        <w:rPr>
          <w:lang w:val="en-US"/>
        </w:rPr>
      </w:pPr>
      <w:r>
        <w:rPr>
          <w:rStyle w:val="FootnoteReference"/>
        </w:rPr>
        <w:footnoteRef/>
      </w:r>
      <w:r>
        <w:t xml:space="preserve"> </w:t>
      </w:r>
      <w:r>
        <w:rPr>
          <w:lang w:val="en-US"/>
        </w:rPr>
        <w:t>Estimated at the time of lending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F72E" w14:textId="77777777" w:rsidR="00CC123A" w:rsidRDefault="00CC123A">
    <w:pPr>
      <w:pStyle w:val="Header"/>
    </w:pPr>
    <w:r>
      <w:t>Performance Results for 2013-14</w:t>
    </w:r>
    <w:r w:rsidR="00387C16">
      <w:t xml:space="preserve">   </w:t>
    </w:r>
    <w:r w:rsidR="00387C16" w:rsidRPr="00387C16">
      <w:rPr>
        <w:u w:val="single"/>
      </w:rPr>
      <w:t>Insert Name of CF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A89E" w14:textId="4F5CD852" w:rsidR="00903BAE" w:rsidRDefault="002F0A60" w:rsidP="00903BAE">
    <w:pPr>
      <w:keepNext/>
      <w:keepLines/>
      <w:tabs>
        <w:tab w:val="left" w:pos="6024"/>
        <w:tab w:val="left" w:pos="7159"/>
      </w:tabs>
      <w:autoSpaceDE w:val="0"/>
      <w:autoSpaceDN w:val="0"/>
      <w:adjustRightInd w:val="0"/>
      <w:jc w:val="center"/>
      <w:rPr>
        <w:rFonts w:cs="Arial"/>
        <w:b/>
        <w:sz w:val="20"/>
        <w:szCs w:val="20"/>
      </w:rPr>
    </w:pPr>
    <w:r>
      <w:t>Performance Results for 20</w:t>
    </w:r>
    <w:r w:rsidR="001048DF">
      <w:t>2</w:t>
    </w:r>
    <w:r w:rsidR="00624A2E">
      <w:t>5</w:t>
    </w:r>
    <w:r>
      <w:t>-</w:t>
    </w:r>
    <w:r w:rsidR="00D97949">
      <w:t>2</w:t>
    </w:r>
    <w:r w:rsidR="00624A2E">
      <w:t>6</w:t>
    </w:r>
    <w:r w:rsidR="00A9055B">
      <w:t xml:space="preserve">   </w:t>
    </w:r>
    <w:r w:rsidR="00FF18F2">
      <w:rPr>
        <w:u w:val="single"/>
      </w:rPr>
      <w:t>Community Futures Lesser Slave Lake Region</w:t>
    </w:r>
    <w:r w:rsidR="00903BAE" w:rsidRPr="00903BAE">
      <w:rPr>
        <w:rFonts w:cs="Arial"/>
        <w:b/>
        <w:sz w:val="20"/>
        <w:szCs w:val="20"/>
      </w:rPr>
      <w:t xml:space="preserve"> </w:t>
    </w:r>
  </w:p>
  <w:p w14:paraId="3B696F3E" w14:textId="77777777" w:rsidR="00A9055B" w:rsidRPr="00855202" w:rsidRDefault="00855202" w:rsidP="00855202">
    <w:pPr>
      <w:spacing w:line="240" w:lineRule="auto"/>
      <w:rPr>
        <w:sz w:val="18"/>
        <w:u w:val="single"/>
      </w:rPr>
    </w:pPr>
    <w:r w:rsidRPr="00855202">
      <w:rPr>
        <w:sz w:val="20"/>
        <w:lang w:val="en-GB"/>
      </w:rPr>
      <w:t xml:space="preserve">Community Futures (CF) is a program that supports community economic development and builds the capacity of communities to realize their full sustainable potential.  The purpose of the CF Program is to help communities develop and implement </w:t>
    </w:r>
    <w:r w:rsidRPr="00855202">
      <w:rPr>
        <w:i/>
        <w:iCs/>
        <w:sz w:val="20"/>
        <w:lang w:val="en-GB"/>
      </w:rPr>
      <w:t>local solutions to local problems</w:t>
    </w:r>
    <w:r w:rsidRPr="00855202">
      <w:rPr>
        <w:sz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3A4"/>
    <w:multiLevelType w:val="hybridMultilevel"/>
    <w:tmpl w:val="73DE88F8"/>
    <w:lvl w:ilvl="0" w:tplc="7B40C0A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C209E2"/>
    <w:multiLevelType w:val="hybridMultilevel"/>
    <w:tmpl w:val="1ED4F5FC"/>
    <w:lvl w:ilvl="0" w:tplc="55C613EC">
      <w:start w:val="1"/>
      <w:numFmt w:val="decimal"/>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C633E36"/>
    <w:multiLevelType w:val="hybridMultilevel"/>
    <w:tmpl w:val="150A8936"/>
    <w:lvl w:ilvl="0" w:tplc="AEB62574">
      <w:start w:val="1"/>
      <w:numFmt w:val="decimal"/>
      <w:lvlText w:val="%1."/>
      <w:lvlJc w:val="left"/>
      <w:pPr>
        <w:ind w:left="720" w:hanging="360"/>
      </w:pPr>
      <w:rPr>
        <w:color w:val="000000" w:themeColor="text1"/>
        <w:lang w:val="en-US"/>
      </w:rPr>
    </w:lvl>
    <w:lvl w:ilvl="1" w:tplc="435CACC4">
      <w:numFmt w:val="bullet"/>
      <w:lvlText w:val="•"/>
      <w:lvlJc w:val="left"/>
      <w:pPr>
        <w:ind w:left="1440" w:hanging="360"/>
      </w:pPr>
      <w:rPr>
        <w:rFonts w:ascii="Calibri" w:eastAsiaTheme="minorHAnsi" w:hAnsi="Calibri" w:cstheme="minorBid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30631B"/>
    <w:multiLevelType w:val="hybridMultilevel"/>
    <w:tmpl w:val="A8FECB1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3543079C"/>
    <w:multiLevelType w:val="hybridMultilevel"/>
    <w:tmpl w:val="2072F844"/>
    <w:lvl w:ilvl="0" w:tplc="1009000F">
      <w:start w:val="1"/>
      <w:numFmt w:val="decimal"/>
      <w:lvlText w:val="%1."/>
      <w:lvlJc w:val="left"/>
      <w:pPr>
        <w:ind w:left="937" w:hanging="360"/>
      </w:pPr>
    </w:lvl>
    <w:lvl w:ilvl="1" w:tplc="10090019" w:tentative="1">
      <w:start w:val="1"/>
      <w:numFmt w:val="lowerLetter"/>
      <w:lvlText w:val="%2."/>
      <w:lvlJc w:val="left"/>
      <w:pPr>
        <w:ind w:left="1657" w:hanging="360"/>
      </w:pPr>
    </w:lvl>
    <w:lvl w:ilvl="2" w:tplc="1009001B" w:tentative="1">
      <w:start w:val="1"/>
      <w:numFmt w:val="lowerRoman"/>
      <w:lvlText w:val="%3."/>
      <w:lvlJc w:val="right"/>
      <w:pPr>
        <w:ind w:left="2377" w:hanging="180"/>
      </w:pPr>
    </w:lvl>
    <w:lvl w:ilvl="3" w:tplc="1009000F" w:tentative="1">
      <w:start w:val="1"/>
      <w:numFmt w:val="decimal"/>
      <w:lvlText w:val="%4."/>
      <w:lvlJc w:val="left"/>
      <w:pPr>
        <w:ind w:left="3097" w:hanging="360"/>
      </w:pPr>
    </w:lvl>
    <w:lvl w:ilvl="4" w:tplc="10090019" w:tentative="1">
      <w:start w:val="1"/>
      <w:numFmt w:val="lowerLetter"/>
      <w:lvlText w:val="%5."/>
      <w:lvlJc w:val="left"/>
      <w:pPr>
        <w:ind w:left="3817" w:hanging="360"/>
      </w:pPr>
    </w:lvl>
    <w:lvl w:ilvl="5" w:tplc="1009001B" w:tentative="1">
      <w:start w:val="1"/>
      <w:numFmt w:val="lowerRoman"/>
      <w:lvlText w:val="%6."/>
      <w:lvlJc w:val="right"/>
      <w:pPr>
        <w:ind w:left="4537" w:hanging="180"/>
      </w:pPr>
    </w:lvl>
    <w:lvl w:ilvl="6" w:tplc="1009000F" w:tentative="1">
      <w:start w:val="1"/>
      <w:numFmt w:val="decimal"/>
      <w:lvlText w:val="%7."/>
      <w:lvlJc w:val="left"/>
      <w:pPr>
        <w:ind w:left="5257" w:hanging="360"/>
      </w:pPr>
    </w:lvl>
    <w:lvl w:ilvl="7" w:tplc="10090019" w:tentative="1">
      <w:start w:val="1"/>
      <w:numFmt w:val="lowerLetter"/>
      <w:lvlText w:val="%8."/>
      <w:lvlJc w:val="left"/>
      <w:pPr>
        <w:ind w:left="5977" w:hanging="360"/>
      </w:pPr>
    </w:lvl>
    <w:lvl w:ilvl="8" w:tplc="1009001B" w:tentative="1">
      <w:start w:val="1"/>
      <w:numFmt w:val="lowerRoman"/>
      <w:lvlText w:val="%9."/>
      <w:lvlJc w:val="right"/>
      <w:pPr>
        <w:ind w:left="6697" w:hanging="180"/>
      </w:pPr>
    </w:lvl>
  </w:abstractNum>
  <w:abstractNum w:abstractNumId="5" w15:restartNumberingAfterBreak="0">
    <w:nsid w:val="3D98274A"/>
    <w:multiLevelType w:val="hybridMultilevel"/>
    <w:tmpl w:val="ED3471B8"/>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C30219D"/>
    <w:multiLevelType w:val="hybridMultilevel"/>
    <w:tmpl w:val="640EE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6B1203"/>
    <w:multiLevelType w:val="hybridMultilevel"/>
    <w:tmpl w:val="41C461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DDA38B4"/>
    <w:multiLevelType w:val="hybridMultilevel"/>
    <w:tmpl w:val="32428F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C628D4"/>
    <w:multiLevelType w:val="hybridMultilevel"/>
    <w:tmpl w:val="793ECCB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063406"/>
    <w:multiLevelType w:val="hybridMultilevel"/>
    <w:tmpl w:val="D07CB9B6"/>
    <w:lvl w:ilvl="0" w:tplc="1009001B">
      <w:start w:val="1"/>
      <w:numFmt w:val="lowerRoman"/>
      <w:lvlText w:val="%1."/>
      <w:lvlJc w:val="righ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71044A"/>
    <w:multiLevelType w:val="hybridMultilevel"/>
    <w:tmpl w:val="995A9550"/>
    <w:lvl w:ilvl="0" w:tplc="BC4AEB10">
      <w:start w:val="1"/>
      <w:numFmt w:val="decimal"/>
      <w:lvlText w:val="%1."/>
      <w:lvlJc w:val="lef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AB17C9"/>
    <w:multiLevelType w:val="multilevel"/>
    <w:tmpl w:val="79C2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27EC2"/>
    <w:multiLevelType w:val="hybridMultilevel"/>
    <w:tmpl w:val="9D5095DE"/>
    <w:lvl w:ilvl="0" w:tplc="1009001B">
      <w:start w:val="1"/>
      <w:numFmt w:val="lowerRoman"/>
      <w:lvlText w:val="%1."/>
      <w:lvlJc w:val="righ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0555568">
    <w:abstractNumId w:val="0"/>
  </w:num>
  <w:num w:numId="2" w16cid:durableId="1880701032">
    <w:abstractNumId w:val="11"/>
  </w:num>
  <w:num w:numId="3" w16cid:durableId="161939543">
    <w:abstractNumId w:val="2"/>
  </w:num>
  <w:num w:numId="4" w16cid:durableId="771438517">
    <w:abstractNumId w:val="3"/>
  </w:num>
  <w:num w:numId="5" w16cid:durableId="724913024">
    <w:abstractNumId w:val="10"/>
  </w:num>
  <w:num w:numId="6" w16cid:durableId="1747268389">
    <w:abstractNumId w:val="13"/>
  </w:num>
  <w:num w:numId="7" w16cid:durableId="1280844316">
    <w:abstractNumId w:val="7"/>
  </w:num>
  <w:num w:numId="8" w16cid:durableId="737634763">
    <w:abstractNumId w:val="5"/>
  </w:num>
  <w:num w:numId="9" w16cid:durableId="1280992610">
    <w:abstractNumId w:val="4"/>
  </w:num>
  <w:num w:numId="10" w16cid:durableId="9257713">
    <w:abstractNumId w:val="9"/>
  </w:num>
  <w:num w:numId="11" w16cid:durableId="1523124897">
    <w:abstractNumId w:val="1"/>
  </w:num>
  <w:num w:numId="12" w16cid:durableId="1532036202">
    <w:abstractNumId w:val="12"/>
  </w:num>
  <w:num w:numId="13" w16cid:durableId="1147085122">
    <w:abstractNumId w:val="6"/>
  </w:num>
  <w:num w:numId="14" w16cid:durableId="814877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3A"/>
    <w:rsid w:val="000032F8"/>
    <w:rsid w:val="00042B8D"/>
    <w:rsid w:val="00061DDF"/>
    <w:rsid w:val="000A68DF"/>
    <w:rsid w:val="000E446D"/>
    <w:rsid w:val="000F1E3F"/>
    <w:rsid w:val="000F794C"/>
    <w:rsid w:val="001048DF"/>
    <w:rsid w:val="00124D7E"/>
    <w:rsid w:val="00136C60"/>
    <w:rsid w:val="00164DFE"/>
    <w:rsid w:val="001A0388"/>
    <w:rsid w:val="001A55FE"/>
    <w:rsid w:val="001A5D7A"/>
    <w:rsid w:val="001F63A6"/>
    <w:rsid w:val="0020118B"/>
    <w:rsid w:val="00204964"/>
    <w:rsid w:val="00211989"/>
    <w:rsid w:val="0022039D"/>
    <w:rsid w:val="00260903"/>
    <w:rsid w:val="002643C5"/>
    <w:rsid w:val="002733B9"/>
    <w:rsid w:val="002856A8"/>
    <w:rsid w:val="002A32FD"/>
    <w:rsid w:val="002B1845"/>
    <w:rsid w:val="002F0A60"/>
    <w:rsid w:val="00305D11"/>
    <w:rsid w:val="00326C17"/>
    <w:rsid w:val="00352DD5"/>
    <w:rsid w:val="00370843"/>
    <w:rsid w:val="00387C16"/>
    <w:rsid w:val="003B364D"/>
    <w:rsid w:val="003C1291"/>
    <w:rsid w:val="003D46F2"/>
    <w:rsid w:val="003D6046"/>
    <w:rsid w:val="003E2596"/>
    <w:rsid w:val="00404BE8"/>
    <w:rsid w:val="00416424"/>
    <w:rsid w:val="00435FD8"/>
    <w:rsid w:val="004707C8"/>
    <w:rsid w:val="00476214"/>
    <w:rsid w:val="004A410A"/>
    <w:rsid w:val="004E0068"/>
    <w:rsid w:val="004F6A16"/>
    <w:rsid w:val="00505D2B"/>
    <w:rsid w:val="00523F0F"/>
    <w:rsid w:val="00524D65"/>
    <w:rsid w:val="00535C65"/>
    <w:rsid w:val="0055116A"/>
    <w:rsid w:val="0056519D"/>
    <w:rsid w:val="0058018D"/>
    <w:rsid w:val="005C3625"/>
    <w:rsid w:val="0061366E"/>
    <w:rsid w:val="00614CA8"/>
    <w:rsid w:val="00624A2E"/>
    <w:rsid w:val="0063129F"/>
    <w:rsid w:val="00637BD2"/>
    <w:rsid w:val="006C2CCB"/>
    <w:rsid w:val="006C565E"/>
    <w:rsid w:val="006C618A"/>
    <w:rsid w:val="006F52BA"/>
    <w:rsid w:val="006F5326"/>
    <w:rsid w:val="00716865"/>
    <w:rsid w:val="00716BF1"/>
    <w:rsid w:val="00721398"/>
    <w:rsid w:val="0074505F"/>
    <w:rsid w:val="00790628"/>
    <w:rsid w:val="008070B2"/>
    <w:rsid w:val="00855202"/>
    <w:rsid w:val="00876ADF"/>
    <w:rsid w:val="008835BB"/>
    <w:rsid w:val="008B0CCB"/>
    <w:rsid w:val="008F7F84"/>
    <w:rsid w:val="00903BAE"/>
    <w:rsid w:val="0090536B"/>
    <w:rsid w:val="00913FD8"/>
    <w:rsid w:val="009212B6"/>
    <w:rsid w:val="00924327"/>
    <w:rsid w:val="00971204"/>
    <w:rsid w:val="009F415F"/>
    <w:rsid w:val="00A57ABB"/>
    <w:rsid w:val="00A65AAC"/>
    <w:rsid w:val="00A9055B"/>
    <w:rsid w:val="00A9248A"/>
    <w:rsid w:val="00AD3AAD"/>
    <w:rsid w:val="00B069C6"/>
    <w:rsid w:val="00B3074E"/>
    <w:rsid w:val="00B65BB9"/>
    <w:rsid w:val="00B86B60"/>
    <w:rsid w:val="00B91766"/>
    <w:rsid w:val="00BB1612"/>
    <w:rsid w:val="00BD0981"/>
    <w:rsid w:val="00BE6567"/>
    <w:rsid w:val="00C06A6C"/>
    <w:rsid w:val="00C7787C"/>
    <w:rsid w:val="00C85229"/>
    <w:rsid w:val="00CC123A"/>
    <w:rsid w:val="00CE1F1B"/>
    <w:rsid w:val="00D011D2"/>
    <w:rsid w:val="00D01222"/>
    <w:rsid w:val="00D262DF"/>
    <w:rsid w:val="00D27BC2"/>
    <w:rsid w:val="00D67217"/>
    <w:rsid w:val="00D97949"/>
    <w:rsid w:val="00E347D4"/>
    <w:rsid w:val="00E351D5"/>
    <w:rsid w:val="00E361E6"/>
    <w:rsid w:val="00E514E4"/>
    <w:rsid w:val="00E61B95"/>
    <w:rsid w:val="00E72307"/>
    <w:rsid w:val="00E81EA2"/>
    <w:rsid w:val="00E9578A"/>
    <w:rsid w:val="00EB684E"/>
    <w:rsid w:val="00EC74F0"/>
    <w:rsid w:val="00F019C9"/>
    <w:rsid w:val="00F02FB1"/>
    <w:rsid w:val="00F105C2"/>
    <w:rsid w:val="00F40352"/>
    <w:rsid w:val="00F464A9"/>
    <w:rsid w:val="00F609C9"/>
    <w:rsid w:val="00FA471E"/>
    <w:rsid w:val="00FE5858"/>
    <w:rsid w:val="00FF1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5987"/>
  <w15:docId w15:val="{54ABAEC8-1A74-4509-B4A0-670D9102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3A"/>
    <w:rPr>
      <w:rFonts w:ascii="Tahoma" w:hAnsi="Tahoma" w:cs="Tahoma"/>
      <w:sz w:val="16"/>
      <w:szCs w:val="16"/>
    </w:rPr>
  </w:style>
  <w:style w:type="paragraph" w:styleId="Header">
    <w:name w:val="header"/>
    <w:basedOn w:val="Normal"/>
    <w:link w:val="HeaderChar"/>
    <w:uiPriority w:val="99"/>
    <w:unhideWhenUsed/>
    <w:rsid w:val="00CC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3A"/>
  </w:style>
  <w:style w:type="paragraph" w:styleId="Footer">
    <w:name w:val="footer"/>
    <w:basedOn w:val="Normal"/>
    <w:link w:val="FooterChar"/>
    <w:uiPriority w:val="99"/>
    <w:unhideWhenUsed/>
    <w:rsid w:val="00CC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3A"/>
  </w:style>
  <w:style w:type="paragraph" w:styleId="ListParagraph">
    <w:name w:val="List Paragraph"/>
    <w:basedOn w:val="Normal"/>
    <w:uiPriority w:val="34"/>
    <w:qFormat/>
    <w:rsid w:val="008F7F84"/>
    <w:pPr>
      <w:ind w:left="720"/>
      <w:contextualSpacing/>
    </w:pPr>
  </w:style>
  <w:style w:type="paragraph" w:customStyle="1" w:styleId="Default">
    <w:name w:val="Default"/>
    <w:rsid w:val="008F7F84"/>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Grid">
    <w:name w:val="Table Grid"/>
    <w:basedOn w:val="TableNormal"/>
    <w:uiPriority w:val="59"/>
    <w:rsid w:val="00F6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855202"/>
    <w:pPr>
      <w:overflowPunct w:val="0"/>
      <w:autoSpaceDE w:val="0"/>
      <w:autoSpaceDN w:val="0"/>
      <w:adjustRightInd w:val="0"/>
      <w:spacing w:after="0" w:line="240" w:lineRule="auto"/>
      <w:textAlignment w:val="baseline"/>
    </w:pPr>
    <w:rPr>
      <w:rFonts w:ascii="Arial" w:eastAsia="Times New Roman" w:hAnsi="Arial" w:cs="Arial"/>
      <w:sz w:val="24"/>
      <w:szCs w:val="20"/>
      <w:lang w:val="en-US"/>
    </w:rPr>
  </w:style>
  <w:style w:type="character" w:customStyle="1" w:styleId="BodyText2Char">
    <w:name w:val="Body Text 2 Char"/>
    <w:basedOn w:val="DefaultParagraphFont"/>
    <w:link w:val="BodyText2"/>
    <w:semiHidden/>
    <w:rsid w:val="00855202"/>
    <w:rPr>
      <w:rFonts w:ascii="Arial" w:eastAsia="Times New Roman" w:hAnsi="Arial" w:cs="Arial"/>
      <w:sz w:val="24"/>
      <w:szCs w:val="20"/>
      <w:lang w:val="en-US"/>
    </w:rPr>
  </w:style>
  <w:style w:type="character" w:styleId="CommentReference">
    <w:name w:val="annotation reference"/>
    <w:basedOn w:val="DefaultParagraphFont"/>
    <w:uiPriority w:val="99"/>
    <w:semiHidden/>
    <w:unhideWhenUsed/>
    <w:rsid w:val="00855202"/>
    <w:rPr>
      <w:sz w:val="16"/>
      <w:szCs w:val="16"/>
    </w:rPr>
  </w:style>
  <w:style w:type="paragraph" w:styleId="CommentText">
    <w:name w:val="annotation text"/>
    <w:basedOn w:val="Normal"/>
    <w:link w:val="CommentTextChar"/>
    <w:uiPriority w:val="99"/>
    <w:semiHidden/>
    <w:unhideWhenUsed/>
    <w:rsid w:val="00855202"/>
    <w:pPr>
      <w:spacing w:line="240" w:lineRule="auto"/>
    </w:pPr>
    <w:rPr>
      <w:sz w:val="20"/>
      <w:szCs w:val="20"/>
    </w:rPr>
  </w:style>
  <w:style w:type="character" w:customStyle="1" w:styleId="CommentTextChar">
    <w:name w:val="Comment Text Char"/>
    <w:basedOn w:val="DefaultParagraphFont"/>
    <w:link w:val="CommentText"/>
    <w:uiPriority w:val="99"/>
    <w:semiHidden/>
    <w:rsid w:val="00855202"/>
    <w:rPr>
      <w:sz w:val="20"/>
      <w:szCs w:val="20"/>
    </w:rPr>
  </w:style>
  <w:style w:type="paragraph" w:styleId="CommentSubject">
    <w:name w:val="annotation subject"/>
    <w:basedOn w:val="CommentText"/>
    <w:next w:val="CommentText"/>
    <w:link w:val="CommentSubjectChar"/>
    <w:uiPriority w:val="99"/>
    <w:semiHidden/>
    <w:unhideWhenUsed/>
    <w:rsid w:val="00855202"/>
    <w:rPr>
      <w:b/>
      <w:bCs/>
    </w:rPr>
  </w:style>
  <w:style w:type="character" w:customStyle="1" w:styleId="CommentSubjectChar">
    <w:name w:val="Comment Subject Char"/>
    <w:basedOn w:val="CommentTextChar"/>
    <w:link w:val="CommentSubject"/>
    <w:uiPriority w:val="99"/>
    <w:semiHidden/>
    <w:rsid w:val="00855202"/>
    <w:rPr>
      <w:b/>
      <w:bCs/>
      <w:sz w:val="20"/>
      <w:szCs w:val="20"/>
    </w:rPr>
  </w:style>
  <w:style w:type="character" w:styleId="Hyperlink">
    <w:name w:val="Hyperlink"/>
    <w:basedOn w:val="DefaultParagraphFont"/>
    <w:uiPriority w:val="99"/>
    <w:unhideWhenUsed/>
    <w:rsid w:val="000A68DF"/>
    <w:rPr>
      <w:color w:val="0000FF" w:themeColor="hyperlink"/>
      <w:u w:val="single"/>
    </w:rPr>
  </w:style>
  <w:style w:type="paragraph" w:styleId="FootnoteText">
    <w:name w:val="footnote text"/>
    <w:basedOn w:val="Normal"/>
    <w:link w:val="FootnoteTextChar"/>
    <w:uiPriority w:val="99"/>
    <w:semiHidden/>
    <w:unhideWhenUsed/>
    <w:rsid w:val="004E0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068"/>
    <w:rPr>
      <w:sz w:val="20"/>
      <w:szCs w:val="20"/>
    </w:rPr>
  </w:style>
  <w:style w:type="character" w:styleId="FootnoteReference">
    <w:name w:val="footnote reference"/>
    <w:basedOn w:val="DefaultParagraphFont"/>
    <w:uiPriority w:val="99"/>
    <w:semiHidden/>
    <w:unhideWhenUsed/>
    <w:rsid w:val="004E0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20805">
      <w:bodyDiv w:val="1"/>
      <w:marLeft w:val="0"/>
      <w:marRight w:val="0"/>
      <w:marTop w:val="0"/>
      <w:marBottom w:val="0"/>
      <w:divBdr>
        <w:top w:val="none" w:sz="0" w:space="0" w:color="auto"/>
        <w:left w:val="none" w:sz="0" w:space="0" w:color="auto"/>
        <w:bottom w:val="none" w:sz="0" w:space="0" w:color="auto"/>
        <w:right w:val="none" w:sz="0" w:space="0" w:color="auto"/>
      </w:divBdr>
      <w:divsChild>
        <w:div w:id="1974748470">
          <w:marLeft w:val="0"/>
          <w:marRight w:val="0"/>
          <w:marTop w:val="0"/>
          <w:marBottom w:val="0"/>
          <w:divBdr>
            <w:top w:val="none" w:sz="0" w:space="0" w:color="auto"/>
            <w:left w:val="none" w:sz="0" w:space="0" w:color="auto"/>
            <w:bottom w:val="none" w:sz="0" w:space="0" w:color="auto"/>
            <w:right w:val="none" w:sz="0" w:space="0" w:color="auto"/>
          </w:divBdr>
          <w:divsChild>
            <w:div w:id="1122383982">
              <w:marLeft w:val="0"/>
              <w:marRight w:val="0"/>
              <w:marTop w:val="0"/>
              <w:marBottom w:val="0"/>
              <w:divBdr>
                <w:top w:val="none" w:sz="0" w:space="0" w:color="auto"/>
                <w:left w:val="none" w:sz="0" w:space="0" w:color="auto"/>
                <w:bottom w:val="none" w:sz="0" w:space="0" w:color="auto"/>
                <w:right w:val="none" w:sz="0" w:space="0" w:color="auto"/>
              </w:divBdr>
              <w:divsChild>
                <w:div w:id="128669697">
                  <w:marLeft w:val="0"/>
                  <w:marRight w:val="0"/>
                  <w:marTop w:val="0"/>
                  <w:marBottom w:val="0"/>
                  <w:divBdr>
                    <w:top w:val="none" w:sz="0" w:space="0" w:color="auto"/>
                    <w:left w:val="none" w:sz="0" w:space="0" w:color="auto"/>
                    <w:bottom w:val="none" w:sz="0" w:space="0" w:color="auto"/>
                    <w:right w:val="none" w:sz="0" w:space="0" w:color="auto"/>
                  </w:divBdr>
                  <w:divsChild>
                    <w:div w:id="51053574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859A-74D5-4FDC-83F0-141021F0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Western Economic Diversification</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Cahoon</dc:creator>
  <cp:keywords/>
  <dc:description/>
  <cp:lastModifiedBy>Craig Friesen</cp:lastModifiedBy>
  <cp:revision>2</cp:revision>
  <dcterms:created xsi:type="dcterms:W3CDTF">2026-06-03T20:12:00Z</dcterms:created>
  <dcterms:modified xsi:type="dcterms:W3CDTF">2026-06-03T20:12:00Z</dcterms:modified>
</cp:coreProperties>
</file>